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B795" w14:textId="75DD9EC2" w:rsidR="00640E7C" w:rsidRPr="006215F6" w:rsidRDefault="005F1C0C" w:rsidP="002D26F6">
      <w:pPr>
        <w:pBdr>
          <w:bottom w:val="single" w:sz="6" w:space="0" w:color="auto"/>
        </w:pBdr>
        <w:spacing w:after="0" w:line="288" w:lineRule="auto"/>
        <w:outlineLvl w:val="0"/>
        <w:rPr>
          <w:sz w:val="28"/>
          <w:lang w:val="en-GB"/>
        </w:rPr>
      </w:pPr>
      <w:r w:rsidRPr="006215F6">
        <w:rPr>
          <w:b/>
          <w:sz w:val="28"/>
          <w:lang w:val="en-GB"/>
        </w:rPr>
        <w:t>PREFA</w:t>
      </w:r>
      <w:r w:rsidR="00640E7C" w:rsidRPr="006215F6">
        <w:rPr>
          <w:sz w:val="28"/>
          <w:lang w:val="en-GB"/>
        </w:rPr>
        <w:t>/</w:t>
      </w:r>
      <w:proofErr w:type="spellStart"/>
      <w:r w:rsidR="00640E7C" w:rsidRPr="006215F6">
        <w:rPr>
          <w:sz w:val="28"/>
          <w:lang w:val="en-GB"/>
        </w:rPr>
        <w:t>Pressemeldung</w:t>
      </w:r>
      <w:proofErr w:type="spellEnd"/>
    </w:p>
    <w:p w14:paraId="5225B807" w14:textId="77777777" w:rsidR="00E1533B" w:rsidRPr="006215F6" w:rsidRDefault="00E1533B" w:rsidP="002D26F6">
      <w:pPr>
        <w:pBdr>
          <w:bottom w:val="single" w:sz="6" w:space="0" w:color="auto"/>
        </w:pBdr>
        <w:spacing w:after="0" w:line="288" w:lineRule="auto"/>
        <w:outlineLvl w:val="0"/>
        <w:rPr>
          <w:rFonts w:cstheme="minorHAnsi"/>
          <w:b/>
          <w:bCs/>
          <w:sz w:val="28"/>
          <w:szCs w:val="28"/>
          <w:lang w:val="en-GB"/>
        </w:rPr>
      </w:pPr>
    </w:p>
    <w:p w14:paraId="0C11C9C6" w14:textId="5AECB68C" w:rsidR="004C4F38" w:rsidRPr="006215F6" w:rsidRDefault="006215F6" w:rsidP="002D26F6">
      <w:pPr>
        <w:pBdr>
          <w:bottom w:val="single" w:sz="6" w:space="0" w:color="auto"/>
        </w:pBdr>
        <w:spacing w:after="0" w:line="288" w:lineRule="auto"/>
        <w:outlineLvl w:val="0"/>
        <w:rPr>
          <w:rFonts w:cstheme="minorHAnsi"/>
          <w:b/>
          <w:bCs/>
          <w:sz w:val="36"/>
          <w:szCs w:val="36"/>
        </w:rPr>
      </w:pPr>
      <w:r w:rsidRPr="006215F6">
        <w:rPr>
          <w:rFonts w:cstheme="minorHAnsi"/>
          <w:b/>
          <w:bCs/>
          <w:sz w:val="36"/>
          <w:szCs w:val="36"/>
        </w:rPr>
        <w:t>EINE NEUE IKONE FÜR K</w:t>
      </w:r>
      <w:r>
        <w:rPr>
          <w:rFonts w:cstheme="minorHAnsi"/>
          <w:b/>
          <w:bCs/>
          <w:sz w:val="36"/>
          <w:szCs w:val="36"/>
        </w:rPr>
        <w:t>IEL</w:t>
      </w:r>
    </w:p>
    <w:p w14:paraId="583E4133" w14:textId="77777777" w:rsidR="004C4F38" w:rsidRDefault="004C4F38" w:rsidP="002D26F6">
      <w:pPr>
        <w:spacing w:after="0" w:line="288" w:lineRule="auto"/>
        <w:rPr>
          <w:rFonts w:cstheme="minorHAnsi"/>
          <w:bCs/>
        </w:rPr>
      </w:pPr>
    </w:p>
    <w:p w14:paraId="2B13E9A3" w14:textId="7C143B90" w:rsidR="006215F6" w:rsidRDefault="006215F6" w:rsidP="006215F6">
      <w:pPr>
        <w:spacing w:after="0" w:line="288" w:lineRule="auto"/>
      </w:pPr>
    </w:p>
    <w:p w14:paraId="3844CBE0" w14:textId="0E9DC183" w:rsidR="006215F6" w:rsidRDefault="006215F6" w:rsidP="006215F6">
      <w:pPr>
        <w:spacing w:after="0" w:line="288" w:lineRule="auto"/>
        <w:jc w:val="both"/>
      </w:pPr>
      <w:r>
        <w:t>Von drei Seiten eine denkmalgeschützte Putz- und Ziegelfassade aus dem frühen 20. Jahrhundert,</w:t>
      </w:r>
      <w:r>
        <w:t xml:space="preserve"> </w:t>
      </w:r>
      <w:r>
        <w:t>von der vierten eine multipel über Dach und Fassade geknickte PREFA Hülle, asymmetrisch und mit</w:t>
      </w:r>
      <w:r>
        <w:t xml:space="preserve"> </w:t>
      </w:r>
      <w:r>
        <w:t>skulpturalem Anspruch. So konträr zeigt sich das neue Studierendenheim „The Station“ in Kiel,</w:t>
      </w:r>
      <w:r>
        <w:t xml:space="preserve"> </w:t>
      </w:r>
      <w:r>
        <w:t>realisiert von Philipp Tetzlaff von der Artur Gärtner Architektengesellschaft mbh aus Berlin.</w:t>
      </w:r>
    </w:p>
    <w:p w14:paraId="7A16A551" w14:textId="77777777" w:rsidR="006215F6" w:rsidRDefault="006215F6" w:rsidP="006215F6">
      <w:pPr>
        <w:spacing w:after="0" w:line="288" w:lineRule="auto"/>
        <w:jc w:val="both"/>
      </w:pPr>
    </w:p>
    <w:p w14:paraId="424E1921" w14:textId="77777777" w:rsidR="006215F6" w:rsidRPr="006215F6" w:rsidRDefault="006215F6" w:rsidP="006215F6">
      <w:pPr>
        <w:spacing w:after="0" w:line="288" w:lineRule="auto"/>
        <w:jc w:val="both"/>
        <w:rPr>
          <w:b/>
          <w:bCs/>
        </w:rPr>
      </w:pPr>
      <w:r w:rsidRPr="006215F6">
        <w:rPr>
          <w:b/>
          <w:bCs/>
        </w:rPr>
        <w:t>Die Lunge der Stadt</w:t>
      </w:r>
    </w:p>
    <w:p w14:paraId="38340F1C" w14:textId="294DBF82" w:rsidR="006215F6" w:rsidRDefault="006215F6" w:rsidP="006215F6">
      <w:pPr>
        <w:spacing w:after="0" w:line="288" w:lineRule="auto"/>
        <w:jc w:val="both"/>
      </w:pPr>
      <w:r>
        <w:t>Der Schwedendamm in Gaarden – zentrale Verbindungsader zwischen dem Ost- und Westufer und</w:t>
      </w:r>
      <w:r>
        <w:t xml:space="preserve"> </w:t>
      </w:r>
      <w:r>
        <w:t>zehn Gehminuten von der Kieler Hörn entfernt. Wir befinden uns in einem Stadtteil, in dem gerade</w:t>
      </w:r>
      <w:r>
        <w:t xml:space="preserve"> </w:t>
      </w:r>
      <w:r>
        <w:t xml:space="preserve">viele architektonische Ohs! und </w:t>
      </w:r>
      <w:proofErr w:type="spellStart"/>
      <w:r>
        <w:t>Ahs</w:t>
      </w:r>
      <w:proofErr w:type="spellEnd"/>
      <w:r>
        <w:t>! entstehen. Schicke, renovierungsbedürftige Altbauten wechseln</w:t>
      </w:r>
      <w:r>
        <w:t xml:space="preserve"> </w:t>
      </w:r>
      <w:r>
        <w:t>sich ab mit brachliegendem Industriebestand unter Denkmalschutz und gehypten Neubauprojekten,</w:t>
      </w:r>
      <w:r>
        <w:t xml:space="preserve"> </w:t>
      </w:r>
      <w:r>
        <w:t>wie dem gerade in Bau befindlichen Multifunktionsgebäude „Kool Kiel“ von MVRDV in Blickweite des</w:t>
      </w:r>
      <w:r>
        <w:t xml:space="preserve"> </w:t>
      </w:r>
      <w:r>
        <w:t xml:space="preserve">„Station“. Doch auch gewagte Umnutzungen wie jene des historischen </w:t>
      </w:r>
      <w:proofErr w:type="spellStart"/>
      <w:r>
        <w:t>Haß</w:t>
      </w:r>
      <w:proofErr w:type="spellEnd"/>
      <w:r>
        <w:t>-Speichers am</w:t>
      </w:r>
      <w:r>
        <w:t xml:space="preserve"> </w:t>
      </w:r>
      <w:r>
        <w:t>Schwedendamm 6 finden Zuspruch in der nördlichsten Großstadt Deutschlands. Der Artur Gärtner</w:t>
      </w:r>
      <w:r>
        <w:t xml:space="preserve"> </w:t>
      </w:r>
      <w:r>
        <w:t>Architektengesellschaft mbh boten diese Standortbedingungen den benötigten Freiraum.</w:t>
      </w:r>
    </w:p>
    <w:p w14:paraId="5B706910" w14:textId="77777777" w:rsidR="006215F6" w:rsidRDefault="006215F6" w:rsidP="006215F6">
      <w:pPr>
        <w:spacing w:after="0" w:line="288" w:lineRule="auto"/>
        <w:jc w:val="both"/>
      </w:pPr>
    </w:p>
    <w:p w14:paraId="40347D37" w14:textId="77777777" w:rsidR="006215F6" w:rsidRPr="006215F6" w:rsidRDefault="006215F6" w:rsidP="006215F6">
      <w:pPr>
        <w:spacing w:after="0" w:line="288" w:lineRule="auto"/>
        <w:jc w:val="both"/>
        <w:rPr>
          <w:b/>
          <w:bCs/>
        </w:rPr>
      </w:pPr>
      <w:r w:rsidRPr="006215F6">
        <w:rPr>
          <w:b/>
          <w:bCs/>
        </w:rPr>
        <w:t>Von Berlin an die Ostsee</w:t>
      </w:r>
    </w:p>
    <w:p w14:paraId="38EFF5BB" w14:textId="1CD4D903" w:rsidR="006215F6" w:rsidRDefault="006215F6" w:rsidP="006215F6">
      <w:pPr>
        <w:spacing w:after="0" w:line="288" w:lineRule="auto"/>
        <w:jc w:val="both"/>
      </w:pPr>
      <w:r>
        <w:t>Sanierungen von alten Mietskasernen, Dachgeschossausbau, Wohnraumverdichtung und</w:t>
      </w:r>
      <w:r>
        <w:t xml:space="preserve"> </w:t>
      </w:r>
      <w:r>
        <w:t>Wohnraumschaffung: Es sind die klassischen Aufgabenfelder von kleinen bis mittelgroßen Berliner</w:t>
      </w:r>
      <w:r>
        <w:t xml:space="preserve"> </w:t>
      </w:r>
      <w:r>
        <w:t>Architekturbüros, mit welchen sich Philipp Tetzlaff und Team lange Zeit beschäftigten. Nun, nach rund</w:t>
      </w:r>
      <w:r>
        <w:t xml:space="preserve"> </w:t>
      </w:r>
      <w:r>
        <w:t>16 Jahren, konzentriert man sich mit 6 bis 8 Mitarbeitern erfolgreich auf gehobenen Wohnungsbau</w:t>
      </w:r>
      <w:r>
        <w:t xml:space="preserve"> </w:t>
      </w:r>
      <w:r>
        <w:t>vornehmlich in und um Berlin, vereinzelt auch in anderen Teilen Deutschlands und innerhalb Europas.</w:t>
      </w:r>
      <w:r>
        <w:t xml:space="preserve"> </w:t>
      </w:r>
      <w:r>
        <w:t>Dass sie dabei immer wieder bei Denkmalschutz-Projekten brillierten, brachte ihnen den Auftrag ein,</w:t>
      </w:r>
      <w:r>
        <w:t xml:space="preserve"> </w:t>
      </w:r>
      <w:r>
        <w:t>den desolaten, geschichtsträchtigen Bestand in Kiel umfassend zu sanieren, aufzustocken und zu</w:t>
      </w:r>
      <w:r>
        <w:t xml:space="preserve"> </w:t>
      </w:r>
      <w:r>
        <w:t>erweitern. „Das bis dato komplexeste Projekt für unser Büro“, kommentiert Projektleiter Philipp</w:t>
      </w:r>
      <w:r>
        <w:t xml:space="preserve"> </w:t>
      </w:r>
      <w:r>
        <w:t>Tetzlaff, „aber wir lieben die Herausforderung.“</w:t>
      </w:r>
    </w:p>
    <w:p w14:paraId="5266D120" w14:textId="77777777" w:rsidR="006215F6" w:rsidRDefault="006215F6" w:rsidP="006215F6">
      <w:pPr>
        <w:spacing w:after="0" w:line="288" w:lineRule="auto"/>
        <w:jc w:val="both"/>
      </w:pPr>
    </w:p>
    <w:p w14:paraId="68B2E3EB" w14:textId="77777777" w:rsidR="006215F6" w:rsidRPr="006215F6" w:rsidRDefault="006215F6" w:rsidP="006215F6">
      <w:pPr>
        <w:spacing w:after="0" w:line="288" w:lineRule="auto"/>
        <w:jc w:val="both"/>
        <w:rPr>
          <w:b/>
          <w:bCs/>
        </w:rPr>
      </w:pPr>
      <w:r w:rsidRPr="006215F6">
        <w:rPr>
          <w:b/>
          <w:bCs/>
        </w:rPr>
        <w:t>Wohnen in alten Mauern</w:t>
      </w:r>
    </w:p>
    <w:p w14:paraId="643DC6E4" w14:textId="5EA4DC26" w:rsidR="006215F6" w:rsidRDefault="006215F6" w:rsidP="006215F6">
      <w:pPr>
        <w:spacing w:after="0" w:line="288" w:lineRule="auto"/>
        <w:jc w:val="both"/>
      </w:pPr>
      <w:r>
        <w:t xml:space="preserve">1905 vom Architekten Carl Voß für den Unternehmer J. F. </w:t>
      </w:r>
      <w:proofErr w:type="spellStart"/>
      <w:r>
        <w:t>Haß</w:t>
      </w:r>
      <w:proofErr w:type="spellEnd"/>
      <w:r>
        <w:t xml:space="preserve"> realisiert, wurden im Speichergebäude</w:t>
      </w:r>
      <w:r>
        <w:t xml:space="preserve"> </w:t>
      </w:r>
      <w:r>
        <w:t>über die Jahre Getreide, Getränke und Metallrohwaren gelagert. Als es nicht mehr betrieben werden</w:t>
      </w:r>
      <w:r>
        <w:t xml:space="preserve"> </w:t>
      </w:r>
      <w:r>
        <w:t>konnte, nutzte man es als einen Lumpensammelplatz mit vorgelagertem Schrottplatz. Seit den</w:t>
      </w:r>
      <w:r>
        <w:t xml:space="preserve"> </w:t>
      </w:r>
      <w:r>
        <w:t>1950ern verkam der Bau nach und nach, ehe sich der Bauherr um die Genehmigung zur Umnutzung</w:t>
      </w:r>
      <w:r>
        <w:t xml:space="preserve"> </w:t>
      </w:r>
      <w:r>
        <w:t>zu einem Studentenwohnheim von der Denkmalschutzbehörde bemühte und diese erhielt. 72</w:t>
      </w:r>
      <w:r>
        <w:t xml:space="preserve"> </w:t>
      </w:r>
      <w:r>
        <w:t>Wohnungen, 20 bis 64 Quadratmeter groß, werden hier ab 2023 zu einem fixen All-Inclusive-Preis</w:t>
      </w:r>
      <w:r>
        <w:t xml:space="preserve"> </w:t>
      </w:r>
      <w:r>
        <w:t>vermietet. Sie verteilen sich über 6 Etagen, vereinzelt mit Loggia oder Terrasse. Als</w:t>
      </w:r>
      <w:r>
        <w:t xml:space="preserve"> </w:t>
      </w:r>
      <w:r>
        <w:t xml:space="preserve">Gemeinschaftsfläche dient die im Zuge der Aufstockung geschaffene </w:t>
      </w:r>
      <w:proofErr w:type="spellStart"/>
      <w:r>
        <w:t>Aufdachterrasse</w:t>
      </w:r>
      <w:proofErr w:type="spellEnd"/>
      <w:r>
        <w:t xml:space="preserve"> mit Blick auf</w:t>
      </w:r>
      <w:r>
        <w:t xml:space="preserve"> </w:t>
      </w:r>
      <w:r>
        <w:t>die Kieler Förde.</w:t>
      </w:r>
      <w:r>
        <w:t xml:space="preserve"> </w:t>
      </w:r>
    </w:p>
    <w:p w14:paraId="5D180BEF" w14:textId="77777777" w:rsidR="006215F6" w:rsidRDefault="006215F6" w:rsidP="006215F6">
      <w:pPr>
        <w:spacing w:after="0" w:line="288" w:lineRule="auto"/>
        <w:jc w:val="both"/>
      </w:pPr>
    </w:p>
    <w:p w14:paraId="63E6DC16" w14:textId="77777777" w:rsidR="006215F6" w:rsidRPr="006215F6" w:rsidRDefault="006215F6" w:rsidP="006215F6">
      <w:pPr>
        <w:spacing w:after="0" w:line="288" w:lineRule="auto"/>
        <w:rPr>
          <w:b/>
          <w:bCs/>
        </w:rPr>
      </w:pPr>
      <w:r w:rsidRPr="006215F6">
        <w:rPr>
          <w:b/>
          <w:bCs/>
        </w:rPr>
        <w:t>Kristalliner Bruch</w:t>
      </w:r>
    </w:p>
    <w:p w14:paraId="4B4DE12B" w14:textId="14D05661" w:rsidR="006215F6" w:rsidRDefault="006215F6" w:rsidP="006215F6">
      <w:pPr>
        <w:spacing w:after="0" w:line="288" w:lineRule="auto"/>
        <w:jc w:val="both"/>
      </w:pPr>
      <w:r>
        <w:t>Was diese Umnutzung ungewöhnlich macht, die eigentliche Überraschung des Entwurfs, ist eine</w:t>
      </w:r>
      <w:r>
        <w:t xml:space="preserve"> </w:t>
      </w:r>
      <w:proofErr w:type="spellStart"/>
      <w:r>
        <w:t>prismenartige</w:t>
      </w:r>
      <w:proofErr w:type="spellEnd"/>
      <w:r>
        <w:t>, mayagoldene Rauten-Hülle, die sich asymmetrisch über den Bau „stülpt“ und eine</w:t>
      </w:r>
      <w:r>
        <w:t xml:space="preserve"> </w:t>
      </w:r>
      <w:r>
        <w:t>Unterteilung in Dach und Fassade verkompliziert. „Bedingt durch seine ursprüngliche Planung als</w:t>
      </w:r>
      <w:r>
        <w:t xml:space="preserve"> </w:t>
      </w:r>
      <w:r>
        <w:t>Kopfbau hatten wir die Aufgabe, die heruntergekommene Brandwand an der Nordseite mit einer</w:t>
      </w:r>
      <w:r>
        <w:t xml:space="preserve"> </w:t>
      </w:r>
      <w:r>
        <w:t>Fassade zu versehen“, schildert Tetzlaff die Gestaltungsarbeit seines Büros. „Es gibt noch immer</w:t>
      </w:r>
      <w:r>
        <w:t xml:space="preserve"> </w:t>
      </w:r>
      <w:r>
        <w:t>viele, die Bauen mit historischer Substanz als reine Rekonstruktion auffassen. Die die Stirn runzeln,</w:t>
      </w:r>
      <w:r>
        <w:t xml:space="preserve"> </w:t>
      </w:r>
      <w:r>
        <w:t>sobald sie das Wort „Anbau“ oder „Aufstockung“ hören und bei einem Projekt wie diesem am</w:t>
      </w:r>
      <w:r>
        <w:t xml:space="preserve"> </w:t>
      </w:r>
      <w:r>
        <w:t>liebsten ‚vertuschen‘ möchten, dass ein Stock draufgesetzt wurde. Das wollten wir aber nicht. Wir</w:t>
      </w:r>
      <w:r>
        <w:t xml:space="preserve"> </w:t>
      </w:r>
      <w:r>
        <w:t>sahen uns auch in den Gesprächen mit Vertretern der Unteren Denkmalschutzbehörde und der</w:t>
      </w:r>
      <w:r>
        <w:t xml:space="preserve"> </w:t>
      </w:r>
      <w:r>
        <w:t>Landesdenkmalschutzbehörde in unserem Bestreben bestätigt, hier einen klaren Kontrast zu</w:t>
      </w:r>
      <w:r>
        <w:t xml:space="preserve"> </w:t>
      </w:r>
      <w:r>
        <w:t>schaffen.“ Einen Kontrast, den sie mit einem neuen Material in einem mutigen Farbton realisierten:</w:t>
      </w:r>
      <w:r>
        <w:t xml:space="preserve"> </w:t>
      </w:r>
      <w:r>
        <w:t>Die gefaltete Aluminium-Fassade lässt den Bau von jeder Richtung anders aussehen und lenkt den</w:t>
      </w:r>
      <w:r>
        <w:t xml:space="preserve"> </w:t>
      </w:r>
      <w:r>
        <w:t>Blick auf die historische Fassade an den drei anderen Gebäudeseiten, die durch Backstein-Pfeiler</w:t>
      </w:r>
      <w:r>
        <w:t xml:space="preserve"> </w:t>
      </w:r>
      <w:r>
        <w:t>gegliedert wird. Doch die Faltung hat auch eine ungeahnte Funktion, denn sie schafft zusätzlichen</w:t>
      </w:r>
      <w:r>
        <w:t xml:space="preserve"> </w:t>
      </w:r>
      <w:r>
        <w:t>Raum für die Mikroapartments. Die daraus resultierende komplexe Geometrie macht die</w:t>
      </w:r>
      <w:r>
        <w:t xml:space="preserve"> </w:t>
      </w:r>
      <w:r>
        <w:t>schmiegsame PREFA Raute einfach so mit.</w:t>
      </w:r>
    </w:p>
    <w:p w14:paraId="00D0A4E9" w14:textId="77777777" w:rsidR="006215F6" w:rsidRDefault="006215F6" w:rsidP="006215F6">
      <w:pPr>
        <w:spacing w:after="0" w:line="288" w:lineRule="auto"/>
        <w:jc w:val="both"/>
      </w:pPr>
    </w:p>
    <w:p w14:paraId="05C41CB2" w14:textId="77777777" w:rsidR="006215F6" w:rsidRPr="006215F6" w:rsidRDefault="006215F6" w:rsidP="006215F6">
      <w:pPr>
        <w:spacing w:after="0" w:line="288" w:lineRule="auto"/>
        <w:rPr>
          <w:b/>
          <w:bCs/>
        </w:rPr>
      </w:pPr>
      <w:r w:rsidRPr="006215F6">
        <w:rPr>
          <w:b/>
          <w:bCs/>
        </w:rPr>
        <w:t>Strukturwandel</w:t>
      </w:r>
    </w:p>
    <w:p w14:paraId="155C2CA8" w14:textId="404631B7" w:rsidR="006215F6" w:rsidRDefault="006215F6" w:rsidP="006215F6">
      <w:pPr>
        <w:spacing w:after="0" w:line="288" w:lineRule="auto"/>
        <w:jc w:val="both"/>
      </w:pPr>
      <w:r>
        <w:t>Es sei Absicht, so Architekt Tetzlaff, dass in Gaarden an so mancher Stelle noch immer ein Stück Kieler</w:t>
      </w:r>
      <w:r>
        <w:t xml:space="preserve"> </w:t>
      </w:r>
      <w:r>
        <w:t>Industriegeschichte hervortritt. Das sei auch bei der „Station“ der Fall, und er meint hier nicht nur die</w:t>
      </w:r>
      <w:r>
        <w:t xml:space="preserve"> </w:t>
      </w:r>
      <w:r>
        <w:t>erhaltenen Mauern. Denn das verwendete Aluminium erinnere daran, dass hier einst Metalle gelagert</w:t>
      </w:r>
    </w:p>
    <w:p w14:paraId="49598DDF" w14:textId="72740C8D" w:rsidR="008678E7" w:rsidRDefault="006215F6" w:rsidP="006215F6">
      <w:pPr>
        <w:spacing w:after="0" w:line="288" w:lineRule="auto"/>
        <w:jc w:val="both"/>
      </w:pPr>
      <w:r>
        <w:t xml:space="preserve">wurden. Und die gusseisernen </w:t>
      </w:r>
      <w:proofErr w:type="spellStart"/>
      <w:r>
        <w:t>Quadrantenstützen</w:t>
      </w:r>
      <w:proofErr w:type="spellEnd"/>
      <w:r>
        <w:t xml:space="preserve"> im Inneren wollte man erhalten, um den</w:t>
      </w:r>
      <w:r>
        <w:t xml:space="preserve"> </w:t>
      </w:r>
      <w:r>
        <w:t>Industriecharakter des ursprünglichen Bestands spürbar zu machen. Die Uhr an der historischen</w:t>
      </w:r>
      <w:r>
        <w:t xml:space="preserve"> </w:t>
      </w:r>
      <w:r>
        <w:t>Fassade tickt jedoch einem Strukturwandel entgegen, auf den die Stadt vorbereitet ist: Es wird Zeit.</w:t>
      </w:r>
    </w:p>
    <w:p w14:paraId="6006D112" w14:textId="77777777" w:rsidR="00D96595" w:rsidRDefault="00D96595" w:rsidP="006215F6">
      <w:pPr>
        <w:spacing w:after="0" w:line="288" w:lineRule="auto"/>
        <w:jc w:val="both"/>
      </w:pPr>
    </w:p>
    <w:p w14:paraId="1E272DC5" w14:textId="43A914E3" w:rsidR="00D96595" w:rsidRDefault="002C31AF" w:rsidP="006215F6">
      <w:pPr>
        <w:spacing w:after="0" w:line="288" w:lineRule="auto"/>
        <w:jc w:val="both"/>
      </w:pPr>
      <w:r>
        <w:t>Material:</w:t>
      </w:r>
    </w:p>
    <w:p w14:paraId="4F4A3F80" w14:textId="41B74C37" w:rsidR="002C31AF" w:rsidRDefault="002C31AF" w:rsidP="006215F6">
      <w:pPr>
        <w:spacing w:after="0" w:line="288" w:lineRule="auto"/>
        <w:jc w:val="both"/>
      </w:pPr>
      <w:r>
        <w:t>Dach- und Wandraute 44 x 44</w:t>
      </w:r>
    </w:p>
    <w:p w14:paraId="30974FDF" w14:textId="2299FFF9" w:rsidR="002C31AF" w:rsidRDefault="002C31AF" w:rsidP="006215F6">
      <w:pPr>
        <w:spacing w:after="0" w:line="288" w:lineRule="auto"/>
        <w:jc w:val="both"/>
      </w:pPr>
      <w:proofErr w:type="spellStart"/>
      <w:r>
        <w:t>Mayagold</w:t>
      </w:r>
      <w:proofErr w:type="spellEnd"/>
    </w:p>
    <w:p w14:paraId="49F89BE0" w14:textId="77777777" w:rsidR="002C31AF" w:rsidRDefault="002C31AF" w:rsidP="006215F6">
      <w:pPr>
        <w:spacing w:after="0" w:line="288" w:lineRule="auto"/>
        <w:jc w:val="both"/>
      </w:pPr>
    </w:p>
    <w:p w14:paraId="0960E950" w14:textId="74C10EAC" w:rsidR="002C31AF" w:rsidRDefault="002C31AF" w:rsidP="006215F6">
      <w:pPr>
        <w:spacing w:after="0" w:line="288" w:lineRule="auto"/>
        <w:jc w:val="both"/>
        <w:rPr>
          <w:b/>
          <w:bCs/>
          <w:i/>
          <w:iCs/>
        </w:rPr>
      </w:pPr>
      <w:r w:rsidRPr="002C31AF">
        <w:rPr>
          <w:b/>
          <w:bCs/>
          <w:i/>
          <w:iCs/>
        </w:rPr>
        <w:t>Fotos des Projekts stehen hier zum Download bereit:</w:t>
      </w:r>
    </w:p>
    <w:p w14:paraId="20D2E666" w14:textId="5199CB73" w:rsidR="002C31AF" w:rsidRDefault="002C31AF" w:rsidP="006215F6">
      <w:pPr>
        <w:spacing w:after="0" w:line="288" w:lineRule="auto"/>
        <w:jc w:val="both"/>
        <w:rPr>
          <w:b/>
          <w:bCs/>
          <w:i/>
          <w:iCs/>
        </w:rPr>
      </w:pPr>
      <w:hyperlink r:id="rId11" w:history="1">
        <w:r w:rsidRPr="005A70C1">
          <w:rPr>
            <w:rStyle w:val="Hyperlink"/>
            <w:rFonts w:asciiTheme="minorHAnsi" w:hAnsiTheme="minorHAnsi"/>
            <w:b/>
            <w:bCs/>
            <w:i/>
            <w:iCs/>
          </w:rPr>
          <w:t>https://brx522.saas.contentserv.com/admin/share/8ab67653</w:t>
        </w:r>
      </w:hyperlink>
    </w:p>
    <w:p w14:paraId="510F9D5F" w14:textId="7E96DE3D" w:rsidR="002C31AF" w:rsidRPr="002C31AF" w:rsidRDefault="002C31AF" w:rsidP="006215F6">
      <w:pPr>
        <w:spacing w:after="0" w:line="288" w:lineRule="auto"/>
        <w:jc w:val="both"/>
        <w:rPr>
          <w:lang w:val="it-IT"/>
        </w:rPr>
      </w:pPr>
      <w:proofErr w:type="spellStart"/>
      <w:r w:rsidRPr="002C31AF">
        <w:rPr>
          <w:lang w:val="it-IT"/>
        </w:rPr>
        <w:t>Fotocredit</w:t>
      </w:r>
      <w:proofErr w:type="spellEnd"/>
      <w:r w:rsidRPr="002C31AF">
        <w:rPr>
          <w:lang w:val="it-IT"/>
        </w:rPr>
        <w:t>: PREFA I Croce &amp; W</w:t>
      </w:r>
      <w:r>
        <w:rPr>
          <w:lang w:val="it-IT"/>
        </w:rPr>
        <w:t>ir</w:t>
      </w:r>
    </w:p>
    <w:p w14:paraId="450E417E" w14:textId="77777777" w:rsidR="006215F6" w:rsidRPr="002C31AF" w:rsidRDefault="006215F6" w:rsidP="002D26F6">
      <w:pPr>
        <w:spacing w:after="0" w:line="288" w:lineRule="auto"/>
        <w:rPr>
          <w:lang w:val="it-IT"/>
        </w:rPr>
      </w:pPr>
    </w:p>
    <w:p w14:paraId="6974654A" w14:textId="77777777" w:rsidR="006215F6" w:rsidRPr="002C31AF" w:rsidRDefault="006215F6" w:rsidP="002D26F6">
      <w:pPr>
        <w:spacing w:after="0" w:line="288" w:lineRule="auto"/>
        <w:rPr>
          <w:rFonts w:eastAsia="MS Mincho" w:cs="Times New Roman"/>
          <w:b/>
          <w:lang w:val="it-IT"/>
        </w:rPr>
      </w:pPr>
    </w:p>
    <w:p w14:paraId="0BA49023" w14:textId="77777777" w:rsidR="008A02BF" w:rsidRDefault="008A02BF" w:rsidP="002D26F6">
      <w:pPr>
        <w:spacing w:after="0" w:line="288" w:lineRule="auto"/>
        <w:rPr>
          <w:rFonts w:eastAsia="MS Mincho" w:cs="Times New Roman"/>
        </w:rPr>
      </w:pPr>
      <w:r>
        <w:rPr>
          <w:rFonts w:eastAsia="MS Mincho" w:cs="Times New Roman"/>
          <w:b/>
        </w:rPr>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w:t>
      </w:r>
      <w:r>
        <w:rPr>
          <w:rFonts w:eastAsia="MS Mincho" w:cs="Times New Roman"/>
        </w:rPr>
        <w:lastRenderedPageBreak/>
        <w:t>Deutschland. PREFA ist Teil der Unternehmensgruppe des Industriellen Dr. Cornel</w:t>
      </w:r>
      <w:r w:rsidR="00A66E76">
        <w:rPr>
          <w:rFonts w:eastAsia="MS Mincho" w:cs="Times New Roman"/>
        </w:rPr>
        <w:t>ius Grupp, die weltweit über 8.0</w:t>
      </w:r>
      <w:r>
        <w:rPr>
          <w:rFonts w:eastAsia="MS Mincho" w:cs="Times New Roman"/>
        </w:rPr>
        <w:t xml:space="preserve">00 MitarbeiterInnen in über 40 Produktionsstandorten beschäftigt. </w:t>
      </w:r>
    </w:p>
    <w:p w14:paraId="433A4650" w14:textId="77777777" w:rsidR="008A02BF" w:rsidRDefault="008A02BF" w:rsidP="002D26F6">
      <w:pPr>
        <w:spacing w:after="0" w:line="288" w:lineRule="auto"/>
        <w:rPr>
          <w:rFonts w:eastAsia="MS Mincho" w:cs="Times New Roman"/>
        </w:rPr>
      </w:pPr>
    </w:p>
    <w:p w14:paraId="2DA83C5C" w14:textId="77777777" w:rsidR="008A02BF" w:rsidRDefault="008A02BF" w:rsidP="002D26F6">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2A207256" w14:textId="77777777" w:rsidR="008A02BF" w:rsidRDefault="008A02BF" w:rsidP="002D26F6">
      <w:pPr>
        <w:spacing w:after="0" w:line="288" w:lineRule="auto"/>
        <w:rPr>
          <w:rFonts w:eastAsia="MS Mincho" w:cs="Times New Roman"/>
        </w:rPr>
      </w:pPr>
      <w:r>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39CF09B6" w14:textId="77777777" w:rsidR="008A02BF" w:rsidRDefault="008A02BF" w:rsidP="002D26F6">
      <w:pPr>
        <w:spacing w:after="0" w:line="288" w:lineRule="auto"/>
        <w:rPr>
          <w:b/>
          <w:bCs/>
          <w:u w:val="single"/>
        </w:rPr>
      </w:pPr>
    </w:p>
    <w:p w14:paraId="56B454FF" w14:textId="77777777" w:rsidR="009A36AC" w:rsidRDefault="009A36AC" w:rsidP="002D26F6">
      <w:pPr>
        <w:spacing w:after="0" w:line="288" w:lineRule="auto"/>
        <w:rPr>
          <w:b/>
          <w:bCs/>
          <w:u w:val="single"/>
        </w:rPr>
      </w:pPr>
    </w:p>
    <w:p w14:paraId="6AC37D29" w14:textId="77777777" w:rsidR="000E22EB" w:rsidRPr="00F864C8" w:rsidRDefault="000E22EB" w:rsidP="002D26F6">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68A58015" w14:textId="77777777" w:rsidR="000E22EB" w:rsidRPr="008939BE" w:rsidRDefault="000E22EB" w:rsidP="002D26F6">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w:t>
      </w:r>
      <w:proofErr w:type="spellStart"/>
      <w:r w:rsidRPr="008939BE">
        <w:rPr>
          <w:rFonts w:eastAsia="MS Mincho" w:cs="Times New Roman"/>
          <w:lang w:val="de-AT"/>
        </w:rPr>
        <w:t>Alu-Dächer</w:t>
      </w:r>
      <w:proofErr w:type="spellEnd"/>
      <w:r w:rsidRPr="008939BE">
        <w:rPr>
          <w:rFonts w:eastAsia="MS Mincho" w:cs="Times New Roman"/>
          <w:lang w:val="de-AT"/>
        </w:rPr>
        <w:t xml:space="preserve"> und -Fassaden </w:t>
      </w:r>
    </w:p>
    <w:p w14:paraId="302F9EF0" w14:textId="77777777" w:rsidR="000E22EB" w:rsidRPr="008939BE" w:rsidRDefault="000E22EB" w:rsidP="002D26F6">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2DF139F3" w14:textId="77777777" w:rsidR="000E22EB" w:rsidRPr="008939BE" w:rsidRDefault="000E22EB" w:rsidP="002D26F6">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3"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7BCC0E1A" w14:textId="26937F22" w:rsidR="000A52E5" w:rsidRPr="00793723" w:rsidRDefault="000A52E5" w:rsidP="002D26F6">
      <w:pPr>
        <w:spacing w:after="0" w:line="288" w:lineRule="auto"/>
        <w:rPr>
          <w:rStyle w:val="Hyperlink"/>
          <w:rFonts w:asciiTheme="minorHAnsi" w:eastAsia="MS Mincho" w:hAnsiTheme="minorHAnsi" w:cs="Times New Roman"/>
          <w:lang w:val="de-AT"/>
        </w:rPr>
      </w:pPr>
      <w:r w:rsidRPr="00793723">
        <w:rPr>
          <w:rStyle w:val="Hyperlink"/>
          <w:rFonts w:asciiTheme="minorHAnsi" w:eastAsia="MS Mincho" w:hAnsiTheme="minorHAnsi" w:cs="Times New Roman"/>
          <w:lang w:val="de-AT"/>
        </w:rPr>
        <w:t>https://www.prefa.de</w:t>
      </w:r>
    </w:p>
    <w:p w14:paraId="5E45FEA5" w14:textId="77777777" w:rsidR="000E22EB" w:rsidRPr="008939BE" w:rsidRDefault="000E22EB" w:rsidP="002D26F6">
      <w:pPr>
        <w:spacing w:after="0" w:line="288" w:lineRule="auto"/>
        <w:rPr>
          <w:rFonts w:eastAsia="MS Mincho" w:cs="Times New Roman"/>
          <w:lang w:val="de-AT"/>
        </w:rPr>
      </w:pPr>
    </w:p>
    <w:p w14:paraId="3E46DBE1" w14:textId="77777777" w:rsidR="004C1612" w:rsidRPr="008939BE" w:rsidRDefault="004C1612" w:rsidP="002D26F6">
      <w:pPr>
        <w:spacing w:after="0" w:line="288" w:lineRule="auto"/>
        <w:rPr>
          <w:sz w:val="16"/>
          <w:szCs w:val="16"/>
          <w:lang w:val="pt-PT"/>
        </w:rPr>
      </w:pPr>
    </w:p>
    <w:sectPr w:rsidR="004C1612" w:rsidRPr="008939BE" w:rsidSect="003C57D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ECC31" w14:textId="77777777" w:rsidR="0075216B" w:rsidRDefault="0075216B" w:rsidP="006F2311">
      <w:pPr>
        <w:spacing w:after="0" w:line="240" w:lineRule="auto"/>
      </w:pPr>
      <w:r>
        <w:separator/>
      </w:r>
    </w:p>
  </w:endnote>
  <w:endnote w:type="continuationSeparator" w:id="0">
    <w:p w14:paraId="42D818B5" w14:textId="77777777" w:rsidR="0075216B" w:rsidRDefault="0075216B"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2236" w14:textId="77777777"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A847" w14:textId="77777777" w:rsidR="0075216B" w:rsidRDefault="0075216B" w:rsidP="006F2311">
      <w:pPr>
        <w:spacing w:after="0" w:line="240" w:lineRule="auto"/>
      </w:pPr>
      <w:r>
        <w:separator/>
      </w:r>
    </w:p>
  </w:footnote>
  <w:footnote w:type="continuationSeparator" w:id="0">
    <w:p w14:paraId="69917B1C" w14:textId="77777777" w:rsidR="0075216B" w:rsidRDefault="0075216B"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3C3D" w14:textId="77777777" w:rsidR="00F864C8" w:rsidRDefault="00F81894">
    <w:pPr>
      <w:pStyle w:val="Kopfzeile"/>
    </w:pPr>
    <w:r>
      <w:rPr>
        <w:noProof/>
        <w:color w:val="2B579A"/>
        <w:shd w:val="clear" w:color="auto" w:fill="E6E6E6"/>
        <w:lang w:val="en-US" w:eastAsia="en-US"/>
      </w:rPr>
      <w:drawing>
        <wp:inline distT="0" distB="0" distL="0" distR="0" wp14:anchorId="1AC1F4FA" wp14:editId="1DDFD245">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209FB9F7" w14:textId="77777777" w:rsidR="00F864C8" w:rsidRDefault="00F864C8">
    <w:pPr>
      <w:pStyle w:val="Kopfzeile"/>
    </w:pPr>
  </w:p>
  <w:p w14:paraId="2AAE0F59"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CA0C4E"/>
    <w:multiLevelType w:val="hybridMultilevel"/>
    <w:tmpl w:val="AFBA2404"/>
    <w:lvl w:ilvl="0" w:tplc="C27811E4">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0687790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58755782">
    <w:abstractNumId w:val="3"/>
  </w:num>
  <w:num w:numId="3" w16cid:durableId="315887841">
    <w:abstractNumId w:val="0"/>
  </w:num>
  <w:num w:numId="4" w16cid:durableId="1651397971">
    <w:abstractNumId w:val="4"/>
  </w:num>
  <w:num w:numId="5" w16cid:durableId="1157527873">
    <w:abstractNumId w:val="1"/>
  </w:num>
  <w:num w:numId="6" w16cid:durableId="207106560">
    <w:abstractNumId w:val="5"/>
  </w:num>
  <w:num w:numId="7" w16cid:durableId="1095133590">
    <w:abstractNumId w:val="12"/>
  </w:num>
  <w:num w:numId="8" w16cid:durableId="2042893902">
    <w:abstractNumId w:val="6"/>
  </w:num>
  <w:num w:numId="9" w16cid:durableId="1676762722">
    <w:abstractNumId w:val="9"/>
  </w:num>
  <w:num w:numId="10" w16cid:durableId="1503083006">
    <w:abstractNumId w:val="11"/>
  </w:num>
  <w:num w:numId="11" w16cid:durableId="735904860">
    <w:abstractNumId w:val="10"/>
  </w:num>
  <w:num w:numId="12" w16cid:durableId="640884454">
    <w:abstractNumId w:val="8"/>
  </w:num>
  <w:num w:numId="13" w16cid:durableId="1357463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proofState w:spelling="clean" w:grammar="clean"/>
  <w:documentProtection w:edit="trackedChanges"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2DFD"/>
    <w:rsid w:val="000739EE"/>
    <w:rsid w:val="00081965"/>
    <w:rsid w:val="00081A96"/>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37A"/>
    <w:rsid w:val="00117EE7"/>
    <w:rsid w:val="001274C2"/>
    <w:rsid w:val="00130E4E"/>
    <w:rsid w:val="001322BC"/>
    <w:rsid w:val="00132B58"/>
    <w:rsid w:val="00142D97"/>
    <w:rsid w:val="00144E99"/>
    <w:rsid w:val="00144F71"/>
    <w:rsid w:val="0014697B"/>
    <w:rsid w:val="00147A25"/>
    <w:rsid w:val="001522BB"/>
    <w:rsid w:val="0015238E"/>
    <w:rsid w:val="0016058D"/>
    <w:rsid w:val="00161D89"/>
    <w:rsid w:val="00167345"/>
    <w:rsid w:val="0016736D"/>
    <w:rsid w:val="00170293"/>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4B85"/>
    <w:rsid w:val="001B54A9"/>
    <w:rsid w:val="001B7222"/>
    <w:rsid w:val="001B73E2"/>
    <w:rsid w:val="001C305A"/>
    <w:rsid w:val="001D03CD"/>
    <w:rsid w:val="001D151A"/>
    <w:rsid w:val="001D44B2"/>
    <w:rsid w:val="001E2A12"/>
    <w:rsid w:val="001E34E1"/>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31AF"/>
    <w:rsid w:val="002C56E0"/>
    <w:rsid w:val="002C5E02"/>
    <w:rsid w:val="002D0DD3"/>
    <w:rsid w:val="002D26F6"/>
    <w:rsid w:val="002D5B72"/>
    <w:rsid w:val="002E1131"/>
    <w:rsid w:val="002E2F2D"/>
    <w:rsid w:val="002F3EB3"/>
    <w:rsid w:val="002F3FD3"/>
    <w:rsid w:val="002F4D8C"/>
    <w:rsid w:val="002F6F72"/>
    <w:rsid w:val="002F7F40"/>
    <w:rsid w:val="0030061F"/>
    <w:rsid w:val="00303A0C"/>
    <w:rsid w:val="003060B7"/>
    <w:rsid w:val="00306AA8"/>
    <w:rsid w:val="003116C5"/>
    <w:rsid w:val="00312970"/>
    <w:rsid w:val="00315139"/>
    <w:rsid w:val="003171E2"/>
    <w:rsid w:val="00317D6F"/>
    <w:rsid w:val="00320210"/>
    <w:rsid w:val="003206E4"/>
    <w:rsid w:val="003210E1"/>
    <w:rsid w:val="00323271"/>
    <w:rsid w:val="00323284"/>
    <w:rsid w:val="003254A0"/>
    <w:rsid w:val="00333FD3"/>
    <w:rsid w:val="00334635"/>
    <w:rsid w:val="00334E8C"/>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57B87"/>
    <w:rsid w:val="004627C1"/>
    <w:rsid w:val="00463AB6"/>
    <w:rsid w:val="004652DC"/>
    <w:rsid w:val="004673E1"/>
    <w:rsid w:val="004675F3"/>
    <w:rsid w:val="00472AC8"/>
    <w:rsid w:val="004750A5"/>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299F"/>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2E72"/>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15F6"/>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A7F94"/>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E5851"/>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216B"/>
    <w:rsid w:val="00752D8E"/>
    <w:rsid w:val="00753569"/>
    <w:rsid w:val="00754705"/>
    <w:rsid w:val="00757451"/>
    <w:rsid w:val="00760FFA"/>
    <w:rsid w:val="00761989"/>
    <w:rsid w:val="00761CB7"/>
    <w:rsid w:val="0076440E"/>
    <w:rsid w:val="00765531"/>
    <w:rsid w:val="007666B1"/>
    <w:rsid w:val="0077151B"/>
    <w:rsid w:val="00774CA1"/>
    <w:rsid w:val="007750EA"/>
    <w:rsid w:val="00777972"/>
    <w:rsid w:val="00784ABD"/>
    <w:rsid w:val="0078735C"/>
    <w:rsid w:val="007915F4"/>
    <w:rsid w:val="007A6F12"/>
    <w:rsid w:val="007B019B"/>
    <w:rsid w:val="007B0380"/>
    <w:rsid w:val="007B1B19"/>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36650"/>
    <w:rsid w:val="008441E0"/>
    <w:rsid w:val="00844545"/>
    <w:rsid w:val="00844FA1"/>
    <w:rsid w:val="00845A70"/>
    <w:rsid w:val="0084719B"/>
    <w:rsid w:val="00852995"/>
    <w:rsid w:val="008540AF"/>
    <w:rsid w:val="008548B6"/>
    <w:rsid w:val="00854B95"/>
    <w:rsid w:val="008561B7"/>
    <w:rsid w:val="00856274"/>
    <w:rsid w:val="0085649B"/>
    <w:rsid w:val="008566B6"/>
    <w:rsid w:val="00857595"/>
    <w:rsid w:val="00857CF9"/>
    <w:rsid w:val="0086234D"/>
    <w:rsid w:val="00864672"/>
    <w:rsid w:val="008678E7"/>
    <w:rsid w:val="008707CB"/>
    <w:rsid w:val="00871543"/>
    <w:rsid w:val="00872833"/>
    <w:rsid w:val="0088020F"/>
    <w:rsid w:val="008824B6"/>
    <w:rsid w:val="00884DDB"/>
    <w:rsid w:val="0088562F"/>
    <w:rsid w:val="00890506"/>
    <w:rsid w:val="0089079E"/>
    <w:rsid w:val="00891604"/>
    <w:rsid w:val="00891AD7"/>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E4A42"/>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FCE"/>
    <w:rsid w:val="00911DC6"/>
    <w:rsid w:val="00915809"/>
    <w:rsid w:val="00920672"/>
    <w:rsid w:val="00925007"/>
    <w:rsid w:val="00925250"/>
    <w:rsid w:val="00925506"/>
    <w:rsid w:val="0092670E"/>
    <w:rsid w:val="0093173E"/>
    <w:rsid w:val="00934597"/>
    <w:rsid w:val="0093500C"/>
    <w:rsid w:val="009410B5"/>
    <w:rsid w:val="00941F31"/>
    <w:rsid w:val="00944180"/>
    <w:rsid w:val="00944A09"/>
    <w:rsid w:val="00945109"/>
    <w:rsid w:val="0094675E"/>
    <w:rsid w:val="00951A40"/>
    <w:rsid w:val="00951E34"/>
    <w:rsid w:val="009652DC"/>
    <w:rsid w:val="0097203E"/>
    <w:rsid w:val="00972E84"/>
    <w:rsid w:val="00973536"/>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475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5FCC"/>
    <w:rsid w:val="00A66E76"/>
    <w:rsid w:val="00A703E1"/>
    <w:rsid w:val="00A7075C"/>
    <w:rsid w:val="00A70A5B"/>
    <w:rsid w:val="00A7179C"/>
    <w:rsid w:val="00A719BF"/>
    <w:rsid w:val="00A73066"/>
    <w:rsid w:val="00A7454D"/>
    <w:rsid w:val="00A74D27"/>
    <w:rsid w:val="00A75D09"/>
    <w:rsid w:val="00A76404"/>
    <w:rsid w:val="00A76A88"/>
    <w:rsid w:val="00A850F9"/>
    <w:rsid w:val="00A86C43"/>
    <w:rsid w:val="00A86D4F"/>
    <w:rsid w:val="00A90748"/>
    <w:rsid w:val="00A90890"/>
    <w:rsid w:val="00A9151C"/>
    <w:rsid w:val="00A93CCD"/>
    <w:rsid w:val="00A943F0"/>
    <w:rsid w:val="00A97259"/>
    <w:rsid w:val="00AA3F84"/>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2667B"/>
    <w:rsid w:val="00B32AF6"/>
    <w:rsid w:val="00B44DEA"/>
    <w:rsid w:val="00B46C51"/>
    <w:rsid w:val="00B515E2"/>
    <w:rsid w:val="00B51910"/>
    <w:rsid w:val="00B523CB"/>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B6B20"/>
    <w:rsid w:val="00BC3AF5"/>
    <w:rsid w:val="00BD2B0F"/>
    <w:rsid w:val="00BD3135"/>
    <w:rsid w:val="00BD4701"/>
    <w:rsid w:val="00BD7C92"/>
    <w:rsid w:val="00BE09FB"/>
    <w:rsid w:val="00BE2E2A"/>
    <w:rsid w:val="00BE3E1B"/>
    <w:rsid w:val="00BE7DD8"/>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4606E"/>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67B9D"/>
    <w:rsid w:val="00D70B21"/>
    <w:rsid w:val="00D70B93"/>
    <w:rsid w:val="00D70D84"/>
    <w:rsid w:val="00D7749B"/>
    <w:rsid w:val="00D7784C"/>
    <w:rsid w:val="00D806F5"/>
    <w:rsid w:val="00D80810"/>
    <w:rsid w:val="00D82234"/>
    <w:rsid w:val="00D87509"/>
    <w:rsid w:val="00D90907"/>
    <w:rsid w:val="00D91B82"/>
    <w:rsid w:val="00D93F33"/>
    <w:rsid w:val="00D950DF"/>
    <w:rsid w:val="00D95DB5"/>
    <w:rsid w:val="00D96595"/>
    <w:rsid w:val="00DA20CE"/>
    <w:rsid w:val="00DA3020"/>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5A89"/>
    <w:rsid w:val="00EB6A5A"/>
    <w:rsid w:val="00EC098C"/>
    <w:rsid w:val="00EC0E87"/>
    <w:rsid w:val="00EC123C"/>
    <w:rsid w:val="00EC368A"/>
    <w:rsid w:val="00EC3BB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64C"/>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442B"/>
    <w:rsid w:val="00F36A90"/>
    <w:rsid w:val="00F37A4A"/>
    <w:rsid w:val="00F40266"/>
    <w:rsid w:val="00F45FCE"/>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375"/>
    <w:rsid w:val="00F864C8"/>
    <w:rsid w:val="00F87A9F"/>
    <w:rsid w:val="00F907E5"/>
    <w:rsid w:val="00F91130"/>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238EC0"/>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E8C"/>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styleId="Hervorhebung">
    <w:name w:val="Emphasis"/>
    <w:basedOn w:val="Absatz-Standardschriftart"/>
    <w:uiPriority w:val="20"/>
    <w:qFormat/>
    <w:rsid w:val="00AA3F84"/>
    <w:rPr>
      <w:i/>
      <w:iCs/>
    </w:rPr>
  </w:style>
  <w:style w:type="character" w:styleId="NichtaufgelsteErwhnung">
    <w:name w:val="Unresolved Mention"/>
    <w:basedOn w:val="Absatz-Standardschriftart"/>
    <w:uiPriority w:val="99"/>
    <w:semiHidden/>
    <w:unhideWhenUsed/>
    <w:rsid w:val="002C3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29938354">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89438160">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8ab6765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4" ma:contentTypeDescription="Ein neues Dokument erstellen." ma:contentTypeScope="" ma:versionID="1afcb8844a0658a2400618c7e1031893">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ca50b5fe1ac7f880b0a11bad968ea92c"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F0B47-1B6C-4570-BA9D-6FB8F3FFCB50}">
  <ds:schemaRefs>
    <ds:schemaRef ds:uri="http://schemas.openxmlformats.org/officeDocument/2006/bibliography"/>
  </ds:schemaRefs>
</ds:datastoreItem>
</file>

<file path=customXml/itemProps2.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2122E1F6-01C5-4496-AF0E-32BEE981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6099</Characters>
  <Application>Microsoft Office Word</Application>
  <DocSecurity>0</DocSecurity>
  <Lines>50</Lines>
  <Paragraphs>14</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Bendel-Döll Alexandra</cp:lastModifiedBy>
  <cp:revision>3</cp:revision>
  <cp:lastPrinted>2018-03-30T06:31:00Z</cp:lastPrinted>
  <dcterms:created xsi:type="dcterms:W3CDTF">2024-01-08T13:50:00Z</dcterms:created>
  <dcterms:modified xsi:type="dcterms:W3CDTF">2024-01-08T13:54:00Z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